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A2DF">
      <w:pPr>
        <w:pStyle w:val="19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248640D4">
      <w:pPr>
        <w:pStyle w:val="15"/>
        <w:rPr>
          <w:sz w:val="36"/>
          <w:szCs w:val="36"/>
        </w:rPr>
      </w:pPr>
      <mc:AlternateContent>
        <mc:Choice Requires="wpsCustomData">
          <wpsCustomData:docfieldStart id="1" docfieldname="FJ_1" hidden="0" print="1" readonly="0" index="2"/>
        </mc:Choice>
      </mc:AlternateContent>
      <w:r>
        <w:rPr>
          <w:sz w:val="36"/>
          <w:szCs w:val="36"/>
        </w:rPr>
        <w:t>2026“红心向党 匠心育人”红色模型主题系列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教育竞赛活动规则</w:t>
      </w:r>
    </w:p>
    <mc:AlternateContent>
      <mc:Choice Requires="wpsCustomData">
        <wpsCustomData:docfieldEnd id="1"/>
      </mc:Choice>
    </mc:AlternateContent>
    <w:p w14:paraId="681B6963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竞赛项目</w:t>
      </w:r>
    </w:p>
    <w:p w14:paraId="18F066B0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color w:val="auto"/>
        </w:rPr>
        <w:t>电动南湖“红船”直线航行赛</w:t>
      </w:r>
    </w:p>
    <w:p w14:paraId="57FBE9E2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color w:val="auto"/>
        </w:rPr>
        <w:t>“百年征程”电动遥控南湖“红船”巡航赛</w:t>
      </w:r>
    </w:p>
    <w:p w14:paraId="47354EE6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b w:val="0"/>
        </w:rPr>
      </w:pPr>
      <w:r>
        <w:t>“开红旗车，走红心路”遥控车竞速赛</w:t>
      </w:r>
    </w:p>
    <w:p w14:paraId="13A66266">
      <w:pPr>
        <w:pStyle w:val="11"/>
        <w:numPr>
          <w:ilvl w:val="0"/>
          <w:numId w:val="2"/>
        </w:numPr>
        <w:topLinePunct w:val="0"/>
        <w:ind w:left="0" w:leftChars="0" w:firstLine="616" w:firstLineChars="0"/>
        <w:rPr>
          <w:b w:val="0"/>
        </w:rPr>
      </w:pPr>
      <w:r>
        <w:t>“中共一大会址”场景设计制作赛</w:t>
      </w:r>
    </w:p>
    <w:p w14:paraId="4E704ACA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竞赛规定</w:t>
      </w:r>
    </w:p>
    <w:p w14:paraId="7A37E894">
      <w:pPr>
        <w:pStyle w:val="3"/>
        <w:numPr>
          <w:ilvl w:val="0"/>
          <w:numId w:val="3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</w:rPr>
      </w:pPr>
      <w:r>
        <w:t>电动南湖“红船”直线航行赛</w:t>
      </w:r>
    </w:p>
    <w:p w14:paraId="0B14E6E6">
      <w:pPr>
        <w:pStyle w:val="4"/>
        <w:numPr>
          <w:ilvl w:val="0"/>
          <w:numId w:val="4"/>
        </w:numPr>
        <w:topLinePunct w:val="0"/>
        <w:bidi w:val="0"/>
        <w:ind w:left="0" w:leftChars="0" w:firstLine="640" w:firstLineChars="0"/>
        <w:rPr>
          <w:b w:val="0"/>
        </w:rPr>
      </w:pPr>
      <w:r>
        <w:t>器材要求</w:t>
      </w:r>
    </w:p>
    <w:p w14:paraId="700C4274">
      <w:pPr>
        <w:pStyle w:val="11"/>
      </w:pPr>
      <w:r>
        <w:t>船长400±30mm，船宽100±20mm。电动机使用130级或以下级别有刷电动机，动力电池使用2节5号碱性电池。</w:t>
      </w:r>
    </w:p>
    <w:p w14:paraId="0639E1FD">
      <w:pPr>
        <w:pStyle w:val="11"/>
        <w:numPr>
          <w:ilvl w:val="0"/>
          <w:numId w:val="4"/>
        </w:numPr>
        <w:topLinePunct w:val="0"/>
        <w:ind w:left="0" w:leftChars="0" w:firstLine="640" w:firstLineChars="0"/>
        <w:rPr>
          <w:b w:val="0"/>
        </w:rPr>
      </w:pPr>
      <w:r>
        <w:rPr>
          <w:rStyle w:val="21"/>
        </w:rPr>
        <w:t>竞赛时间</w:t>
      </w:r>
      <w:r>
        <w:t>：1分钟</w:t>
      </w:r>
    </w:p>
    <w:p w14:paraId="2504EA7C">
      <w:pPr>
        <w:pStyle w:val="4"/>
        <w:numPr>
          <w:ilvl w:val="0"/>
          <w:numId w:val="4"/>
        </w:numPr>
        <w:topLinePunct w:val="0"/>
        <w:bidi w:val="0"/>
        <w:ind w:left="0" w:leftChars="0" w:firstLine="640" w:firstLineChars="0"/>
        <w:rPr>
          <w:b w:val="0"/>
        </w:rPr>
      </w:pPr>
      <w:r>
        <w:t>竞赛方法</w:t>
      </w:r>
    </w:p>
    <w:p w14:paraId="41013494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运动员使用由本人现场完成的模型，在竞赛水池使模型依靠自身动力航行，以模型航向的准确性和航行时间记录成绩。</w:t>
      </w:r>
    </w:p>
    <w:p w14:paraId="2308DCCF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 xml:space="preserve">赛前由裁判组对运动员进行现场排序。运动员进入放航区后，1分钟竞赛计时开始。起航前，运动员举手示意，待裁判员发出“运动员准备”口令后启动模型电机，用手扶模型使之置于启航线后方的水面上待命。裁判员发出“开始”口令后进行航行计时。凡模型过门、触及边线、一分钟竞赛时间到时，裁判员停止计时，竞赛结束。 </w:t>
      </w:r>
    </w:p>
    <w:p w14:paraId="1E4BC1CF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 xml:space="preserve">模型碰标不扣分，压标而过、卡标按低分门给分。 </w:t>
      </w:r>
    </w:p>
    <w:p w14:paraId="64AE0531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如发生以下情况，运动员该轮成绩记为零分：1分钟竞赛时间到，但运动员未能完成竞赛；发生故障的模型受风浪影响而过门；起航后有人为施加的可能影响模型航行的行为；竞赛中丢失模型基本部件。</w:t>
      </w:r>
    </w:p>
    <w:p w14:paraId="76261C3D">
      <w:pPr>
        <w:pStyle w:val="11"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竞赛进行两轮，取两轮中最好成绩排名。得分高者，成绩列前；得分相同，航行时间短者成绩列前。若同分，则看另一轮。</w:t>
      </w:r>
    </w:p>
    <w:p w14:paraId="61689858"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039995" cy="1614170"/>
            <wp:effectExtent l="0" t="0" r="8255" b="5080"/>
            <wp:docPr id="6" name="图片 6" descr="7ca86cc1-3215-4dfb-8b10-2920bfa79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a86cc1-3215-4dfb-8b10-2920bfa793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1476">
      <w:pPr>
        <w:pStyle w:val="20"/>
      </w:pPr>
      <w:r>
        <w:t>（场地</w:t>
      </w:r>
      <w:r>
        <w:rPr>
          <w:rFonts w:hint="eastAsia"/>
          <w:lang w:val="en-US" w:eastAsia="zh-CN"/>
        </w:rPr>
        <w:t>示意</w:t>
      </w:r>
      <w:r>
        <w:t>图）</w:t>
      </w:r>
    </w:p>
    <w:p w14:paraId="0E78611F">
      <w:pPr>
        <w:pStyle w:val="3"/>
        <w:numPr>
          <w:ilvl w:val="0"/>
          <w:numId w:val="0"/>
        </w:numPr>
        <w:topLinePunct w:val="0"/>
        <w:ind w:left="640" w:leftChars="0"/>
        <w:rPr>
          <w:b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“百年征程”电动遥控南湖“红船”巡航赛</w:t>
      </w:r>
    </w:p>
    <w:p w14:paraId="3C87F2DB">
      <w:pPr>
        <w:pStyle w:val="4"/>
        <w:numPr>
          <w:ilvl w:val="0"/>
          <w:numId w:val="6"/>
        </w:numPr>
        <w:topLinePunct w:val="0"/>
        <w:bidi w:val="0"/>
        <w:ind w:left="0" w:leftChars="0" w:firstLine="640" w:firstLineChars="0"/>
        <w:rPr>
          <w:b w:val="0"/>
        </w:rPr>
      </w:pPr>
      <w:r>
        <w:t>器材要求</w:t>
      </w:r>
    </w:p>
    <w:p w14:paraId="4368A7E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船长400±30mm，船宽100±20mm。电动机使用不可拆卸式外壳的130级或以下级别有刷电动机，动力电池采用原厂1S500mAh锂聚电池。</w:t>
      </w:r>
    </w:p>
    <w:p w14:paraId="3C2CE701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</w:rPr>
      </w:pPr>
      <w:r>
        <w:rPr>
          <w:rStyle w:val="21"/>
        </w:rPr>
        <w:t>竞赛时间</w:t>
      </w:r>
      <w:r>
        <w:t>：2分钟</w:t>
      </w:r>
    </w:p>
    <w:p w14:paraId="376FF135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</w:rPr>
      </w:pPr>
      <w:r>
        <w:t>竞赛方法</w:t>
      </w:r>
    </w:p>
    <w:p w14:paraId="4A8B877B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</w:rPr>
      </w:pPr>
      <w:r>
        <w:t>点名上场准备时间为30秒。</w:t>
      </w:r>
    </w:p>
    <w:p w14:paraId="58A5AED3">
      <w:pPr>
        <w:pStyle w:val="11"/>
        <w:numPr>
          <w:ilvl w:val="0"/>
          <w:numId w:val="7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选手须在操纵区内操纵模型。模型放置在启航区，自动开启计时按钮开始计时，模型按场地图航线，依次通过第一个门至第二十个门，即完成穿越任务。当模型完全通过最后一个门到达终点区域时，选手按下计时器停止计时，竞赛结束。如在竞赛时间内未完成竞赛，则以实际完成得分计算。</w:t>
      </w:r>
    </w:p>
    <w:p w14:paraId="19D2176D">
      <w:pPr>
        <w:pStyle w:val="11"/>
        <w:numPr>
          <w:ilvl w:val="0"/>
          <w:numId w:val="7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竞赛进行两轮，每轮航行满分为100分，模型驶出后，按顺序完成20项穿越任务，每完成一项任务得5分。漏任务不得再补，取其中一轮较好成绩排名。得分相同，航行时间短者成绩列前，如再相同则以另一轮成绩排定名次。</w:t>
      </w:r>
    </w:p>
    <w:p w14:paraId="4F3B7DA7"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039995" cy="1776095"/>
            <wp:effectExtent l="0" t="0" r="1905" b="1905"/>
            <wp:docPr id="3" name="图片 3" descr="7f91b39a-b73f-41f7-bfa1-695678889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91b39a-b73f-41f7-bfa1-695678889a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99A8">
      <w:pPr>
        <w:bidi w:val="0"/>
        <w:spacing w:line="24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039995" cy="2359025"/>
            <wp:effectExtent l="0" t="0" r="1905" b="3175"/>
            <wp:docPr id="2" name="图片 2" descr="7a0ca804-64e6-4e79-9379-faacab7b7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0ca804-64e6-4e79-9379-faacab7b7ff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9B05">
      <w:pPr>
        <w:bidi w:val="0"/>
        <w:spacing w:line="24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039995" cy="2816225"/>
            <wp:effectExtent l="0" t="0" r="1905" b="3175"/>
            <wp:docPr id="4" name="图片 4" descr="d398451f-8d1e-45d8-8a63-d81762f54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98451f-8d1e-45d8-8a63-d81762f545a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73D8">
      <w:pPr>
        <w:pStyle w:val="20"/>
      </w:pPr>
      <w:r>
        <w:t>（场地示意图）</w:t>
      </w:r>
    </w:p>
    <w:p w14:paraId="79F1E5E0">
      <w:pPr>
        <w:pStyle w:val="3"/>
        <w:numPr>
          <w:ilvl w:val="0"/>
          <w:numId w:val="0"/>
        </w:numPr>
        <w:topLinePunct w:val="0"/>
        <w:ind w:left="640" w:leftChars="0"/>
        <w:rPr>
          <w:b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“开红旗车，走红心路”遥控车</w:t>
      </w:r>
      <w:r>
        <w:rPr>
          <w:rFonts w:hint="eastAsia"/>
          <w:lang w:val="en-US" w:eastAsia="zh-CN"/>
        </w:rPr>
        <w:t>竞速</w:t>
      </w:r>
      <w:r>
        <w:t>赛</w:t>
      </w:r>
    </w:p>
    <w:p w14:paraId="38CD1863">
      <w:pPr>
        <w:pStyle w:val="4"/>
        <w:numPr>
          <w:ilvl w:val="0"/>
          <w:numId w:val="8"/>
        </w:numPr>
        <w:topLinePunct w:val="0"/>
        <w:bidi w:val="0"/>
        <w:ind w:left="0" w:leftChars="0" w:firstLine="640" w:firstLineChars="0"/>
        <w:rPr>
          <w:b w:val="0"/>
        </w:rPr>
      </w:pPr>
      <w:r>
        <w:t>器材要求</w:t>
      </w:r>
    </w:p>
    <w:p w14:paraId="43C0EB01">
      <w:pPr>
        <w:pStyle w:val="11"/>
      </w:pPr>
      <w:r>
        <w:t>整车车长160mm，宽67mm，独立悬挂，二轮驱动，电动机使用不可拆卸式外壳的130级或以下级别有刷电动机，橡胶轮胎，电池标称电压≤6V。车辆主体材质为ABS和PA材料，车身禁止使用碳纤维和金属材料，不允许任何改动和升级。</w:t>
      </w:r>
    </w:p>
    <w:p w14:paraId="0637B4FF">
      <w:pPr>
        <w:pStyle w:val="11"/>
        <w:numPr>
          <w:ilvl w:val="0"/>
          <w:numId w:val="8"/>
        </w:numPr>
        <w:topLinePunct w:val="0"/>
        <w:ind w:left="0" w:leftChars="0" w:firstLine="640" w:firstLineChars="0"/>
        <w:rPr>
          <w:b w:val="0"/>
        </w:rPr>
      </w:pPr>
      <w:r>
        <w:rPr>
          <w:rStyle w:val="21"/>
        </w:rPr>
        <w:t>竞赛时间</w:t>
      </w:r>
      <w:r>
        <w:t>：3分钟</w:t>
      </w:r>
    </w:p>
    <w:p w14:paraId="46DB31D4">
      <w:pPr>
        <w:pStyle w:val="4"/>
        <w:numPr>
          <w:ilvl w:val="0"/>
          <w:numId w:val="8"/>
        </w:numPr>
        <w:topLinePunct w:val="0"/>
        <w:bidi w:val="0"/>
        <w:ind w:left="0" w:leftChars="0" w:firstLine="640" w:firstLineChars="0"/>
        <w:rPr>
          <w:b w:val="0"/>
        </w:rPr>
      </w:pPr>
      <w:r>
        <w:t>竞赛方法</w:t>
      </w:r>
    </w:p>
    <w:p w14:paraId="51596C99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运动员以遥控方式操纵模型，在规定的时间内，按场地图所示完成规定线路的竞赛。</w:t>
      </w:r>
    </w:p>
    <w:p w14:paraId="167E2456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b w:val="0"/>
        </w:rPr>
      </w:pPr>
      <w:r>
        <w:t>参加竞赛的模型必须保持零件完整，零部件不允许改动或更换。</w:t>
      </w:r>
    </w:p>
    <w:p w14:paraId="5EB1775F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 w:firstLineChars="0"/>
        <w:textAlignment w:val="auto"/>
        <w:rPr>
          <w:rFonts w:hint="eastAsia" w:ascii="仿宋_GB2312" w:hAnsi="仿宋_GB2312" w:eastAsia="仿宋_GB2312" w:cs="仿宋_GB2312"/>
          <w:b w:val="0"/>
        </w:rPr>
      </w:pPr>
      <w:r>
        <w:t>运动员应在竞赛前30分钟，将发射机（含备用发射机）交指定地点保管，未按时交送发射机的运动员则取消竞赛资格（每个发射机上必须有明显的运动员编号和姓名）。</w:t>
      </w:r>
    </w:p>
    <w:p w14:paraId="709B7877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每轮竞赛的圈数为5圈，所用时间少者成绩列前。若3分钟仍未完成5圈，则该名运动员的该轮成绩为180秒，以已完成的圈数计算成绩。</w:t>
      </w:r>
    </w:p>
    <w:p w14:paraId="253E3635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运动员每轮竞赛结束后，必须及时将发射机送到指定地点，违则取消竞赛成绩。当所有运动员竞赛结束后，才能取回自己的发射机。</w:t>
      </w:r>
    </w:p>
    <w:p w14:paraId="10B18C3D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赛前由裁判将运动员编成3～5人一组，按序进行竞赛。</w:t>
      </w:r>
    </w:p>
    <w:p w14:paraId="5DE6A469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在竞赛过程中，运动员必须在规定的操纵地点操纵模型，模型必须按照竞赛的指定路线行驶，不按规定路线行驶和窜道行驶的行为，不记录成绩。</w:t>
      </w:r>
    </w:p>
    <w:p w14:paraId="08B9B84D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模型在行驶中出现故障，允许运动员进行修理。故障排除后，允许模型在发生故障处重新投入竞赛，并在原有的有效圈数上继续计算圈数，但维修时计时不停止。</w:t>
      </w:r>
    </w:p>
    <w:p w14:paraId="09CE43E2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rPr>
          <w:spacing wpsCustomData:val="-6" w:val="-2"/>
        </w:rPr>
        <w:t>裁判员用倒计</w:t>
      </w:r>
      <w:r>
        <w:rPr>
          <w:spacing wpsCustomData:val="-6" w:val="-1"/>
        </w:rPr>
        <w:t>时</w:t>
      </w:r>
      <w:r>
        <w:rPr>
          <w:spacing wpsCustomData:val="-6" w:val="-6"/>
        </w:rPr>
        <w:t>“</w:t>
      </w:r>
      <w:r>
        <w:rPr>
          <w:spacing wpsCustomData:val="-6" w:val="-2"/>
        </w:rPr>
        <w:t>5</w:t>
      </w:r>
      <w:r>
        <w:rPr>
          <w:spacing wpsCustomData:val="-6" w:val="-1"/>
        </w:rPr>
        <w:t>、</w:t>
      </w:r>
      <w:r>
        <w:rPr>
          <w:spacing wpsCustomData:val="-6" w:val="-2"/>
        </w:rPr>
        <w:t>4</w:t>
      </w:r>
      <w:r>
        <w:rPr>
          <w:spacing wpsCustomData:val="-6" w:val="-1"/>
        </w:rPr>
        <w:t>、</w:t>
      </w:r>
      <w:r>
        <w:rPr>
          <w:spacing wpsCustomData:val="-6" w:val="-2"/>
        </w:rPr>
        <w:t>3</w:t>
      </w:r>
      <w:r>
        <w:rPr>
          <w:spacing wpsCustomData:val="-6" w:val="-1"/>
        </w:rPr>
        <w:t>、</w:t>
      </w:r>
      <w:r>
        <w:rPr>
          <w:spacing wpsCustomData:val="-6" w:val="-2"/>
        </w:rPr>
        <w:t>2</w:t>
      </w:r>
      <w:r>
        <w:rPr>
          <w:spacing wpsCustomData:val="-6" w:val="-1"/>
        </w:rPr>
        <w:t>、</w:t>
      </w:r>
      <w:r>
        <w:rPr>
          <w:spacing wpsCustomData:val="-6" w:val="-2"/>
        </w:rPr>
        <w:t>1，开始</w:t>
      </w:r>
      <w:r>
        <w:rPr>
          <w:spacing wpsCustomData:val="-6" w:val="-1"/>
        </w:rPr>
        <w:t>”</w:t>
      </w:r>
      <w:r>
        <w:rPr>
          <w:spacing wpsCustomData:val="-6" w:val="-2"/>
        </w:rPr>
        <w:t>口令宣布比</w:t>
      </w:r>
      <w:r>
        <w:rPr>
          <w:spacing wpsCustomData:val="-6" w:val="-6"/>
        </w:rPr>
        <w:t>赛</w:t>
      </w:r>
      <w:r>
        <w:t>开始。</w:t>
      </w:r>
    </w:p>
    <w:p w14:paraId="294BAE03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竞赛进行两轮。</w:t>
      </w:r>
    </w:p>
    <w:p w14:paraId="72844073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竞赛过程中，如有下述情形，成绩加罚5秒（可累加）：</w:t>
      </w:r>
    </w:p>
    <w:p w14:paraId="3B3E2F89">
      <w:pPr>
        <w:pStyle w:val="11"/>
        <w:numPr>
          <w:ilvl w:val="0"/>
          <w:numId w:val="10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倒计时结束后，提前触及起点线；</w:t>
      </w:r>
    </w:p>
    <w:p w14:paraId="4D92A788">
      <w:pPr>
        <w:pStyle w:val="11"/>
        <w:numPr>
          <w:ilvl w:val="0"/>
          <w:numId w:val="10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竞赛过程中，车辆驶出红色赛道之外；</w:t>
      </w:r>
    </w:p>
    <w:p w14:paraId="22978E6D">
      <w:pPr>
        <w:pStyle w:val="11"/>
        <w:numPr>
          <w:ilvl w:val="0"/>
          <w:numId w:val="10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在竞赛过程中，非维修情形下触及车辆。</w:t>
      </w:r>
    </w:p>
    <w:p w14:paraId="4C5DC9B3">
      <w:pPr>
        <w:pStyle w:val="11"/>
        <w:numPr>
          <w:ilvl w:val="0"/>
          <w:numId w:val="9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成绩评定：</w:t>
      </w:r>
    </w:p>
    <w:p w14:paraId="28E640B5">
      <w:pPr>
        <w:pStyle w:val="11"/>
      </w:pPr>
      <w:r>
        <w:t>完成两轮规定圈数，以两轮成绩中较好的一轮为最终成绩。若两轮成绩相同，看另一轮成绩。用时较短者，成绩列前。</w:t>
      </w:r>
    </w:p>
    <w:p w14:paraId="0877CD8B"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4444365" cy="3695065"/>
            <wp:effectExtent l="0" t="0" r="13335" b="635"/>
            <wp:docPr id="5" name="图片 5" descr="93d3fc6d-6614-4bdd-ab44-5e9d835e9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d3fc6d-6614-4bdd-ab44-5e9d835e98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3F3C3">
      <w:pPr>
        <w:pStyle w:val="20"/>
      </w:pPr>
      <w:r>
        <w:t>（场地示意图）</w:t>
      </w:r>
    </w:p>
    <w:p w14:paraId="540C071C">
      <w:pPr>
        <w:pStyle w:val="3"/>
        <w:numPr>
          <w:ilvl w:val="0"/>
          <w:numId w:val="0"/>
        </w:numPr>
        <w:topLinePunct w:val="0"/>
        <w:ind w:left="640" w:leftChars="0"/>
        <w:rPr>
          <w:b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t>“中共一大会址”场景设计制作赛</w:t>
      </w:r>
    </w:p>
    <w:p w14:paraId="38CFB365">
      <w:pPr>
        <w:pStyle w:val="4"/>
        <w:numPr>
          <w:ilvl w:val="0"/>
          <w:numId w:val="11"/>
        </w:numPr>
        <w:topLinePunct w:val="0"/>
        <w:bidi w:val="0"/>
        <w:ind w:left="0" w:leftChars="0" w:firstLine="640" w:firstLineChars="0"/>
        <w:rPr>
          <w:b w:val="0"/>
        </w:rPr>
      </w:pPr>
      <w:r>
        <w:t>器材要求</w:t>
      </w:r>
    </w:p>
    <w:p w14:paraId="1184D8E4">
      <w:pPr>
        <w:pStyle w:val="11"/>
      </w:pPr>
      <w:r>
        <w:t>模型比例1／140—1／160，材质不限。</w:t>
      </w:r>
    </w:p>
    <w:p w14:paraId="152F418A">
      <w:pPr>
        <w:pStyle w:val="11"/>
        <w:numPr>
          <w:ilvl w:val="0"/>
          <w:numId w:val="11"/>
        </w:numPr>
        <w:topLinePunct w:val="0"/>
        <w:ind w:left="0" w:leftChars="0" w:firstLine="640" w:firstLineChars="0"/>
        <w:rPr>
          <w:b w:val="0"/>
        </w:rPr>
      </w:pPr>
      <w:r>
        <w:rPr>
          <w:rStyle w:val="21"/>
        </w:rPr>
        <w:t>竞赛时间</w:t>
      </w:r>
      <w:r>
        <w:t>：180分钟</w:t>
      </w:r>
    </w:p>
    <w:p w14:paraId="034CBA58">
      <w:pPr>
        <w:pStyle w:val="4"/>
        <w:numPr>
          <w:ilvl w:val="0"/>
          <w:numId w:val="11"/>
        </w:numPr>
        <w:topLinePunct w:val="0"/>
        <w:bidi w:val="0"/>
        <w:ind w:left="0" w:leftChars="0" w:firstLine="640" w:firstLineChars="0"/>
        <w:rPr>
          <w:b w:val="0"/>
        </w:rPr>
      </w:pPr>
      <w:r>
        <w:t>竞赛方法</w:t>
      </w:r>
    </w:p>
    <w:p w14:paraId="531F96C6">
      <w:pPr>
        <w:pStyle w:val="11"/>
      </w:pPr>
      <w:r>
        <w:t>运动员在规定时间内完成模型主体和沙盘的制作，制作过程中可使用自备辅料，沙盘最大尺寸为40cm×60cm。</w:t>
      </w:r>
    </w:p>
    <w:p w14:paraId="4E74E130">
      <w:pPr>
        <w:pStyle w:val="11"/>
        <w:numPr>
          <w:ilvl w:val="0"/>
          <w:numId w:val="11"/>
        </w:numPr>
        <w:topLinePunct w:val="0"/>
        <w:ind w:left="0" w:leftChars="0" w:firstLine="640" w:firstLineChars="0"/>
        <w:rPr>
          <w:b w:val="0"/>
        </w:rPr>
      </w:pPr>
      <w:r>
        <w:rPr>
          <w:rStyle w:val="21"/>
        </w:rPr>
        <w:t>成绩评定</w:t>
      </w:r>
      <w:r>
        <w:t>：总成绩共100分</w:t>
      </w:r>
    </w:p>
    <w:p w14:paraId="1FC087AA">
      <w:pPr>
        <w:pStyle w:val="11"/>
        <w:numPr>
          <w:ilvl w:val="0"/>
          <w:numId w:val="1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建造：60分</w:t>
      </w:r>
    </w:p>
    <w:p w14:paraId="318BAC0C">
      <w:pPr>
        <w:pStyle w:val="11"/>
        <w:numPr>
          <w:ilvl w:val="0"/>
          <w:numId w:val="1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模型作品建造的技术水平和工艺质量：25分</w:t>
      </w:r>
    </w:p>
    <w:p w14:paraId="53947CAA">
      <w:pPr>
        <w:pStyle w:val="11"/>
        <w:numPr>
          <w:ilvl w:val="0"/>
          <w:numId w:val="1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模型作品的工作量和制作难度：15分</w:t>
      </w:r>
    </w:p>
    <w:p w14:paraId="0DDE4564">
      <w:pPr>
        <w:pStyle w:val="11"/>
        <w:numPr>
          <w:ilvl w:val="0"/>
          <w:numId w:val="1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模型整体比例的合理性：10分</w:t>
      </w:r>
    </w:p>
    <w:p w14:paraId="1172BB82">
      <w:pPr>
        <w:pStyle w:val="11"/>
        <w:numPr>
          <w:ilvl w:val="0"/>
          <w:numId w:val="1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模型整体造型的准确度：10分</w:t>
      </w:r>
    </w:p>
    <w:p w14:paraId="0F6F502E">
      <w:pPr>
        <w:pStyle w:val="11"/>
        <w:numPr>
          <w:ilvl w:val="0"/>
          <w:numId w:val="1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印象：20分</w:t>
      </w:r>
    </w:p>
    <w:p w14:paraId="408DE4EB">
      <w:pPr>
        <w:pStyle w:val="11"/>
        <w:numPr>
          <w:ilvl w:val="0"/>
          <w:numId w:val="14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模型作品主题鲜明：10分</w:t>
      </w:r>
    </w:p>
    <w:p w14:paraId="2F328933">
      <w:pPr>
        <w:pStyle w:val="11"/>
        <w:numPr>
          <w:ilvl w:val="0"/>
          <w:numId w:val="14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模型作品尊重历史和现实：10分</w:t>
      </w:r>
    </w:p>
    <w:p w14:paraId="34A863D2">
      <w:pPr>
        <w:pStyle w:val="11"/>
        <w:numPr>
          <w:ilvl w:val="0"/>
          <w:numId w:val="12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整体效果：2</w:t>
      </w:r>
      <w:bookmarkStart w:id="0" w:name="_GoBack"/>
      <w:bookmarkEnd w:id="0"/>
      <w:r>
        <w:t>0分</w:t>
      </w:r>
    </w:p>
    <w:p w14:paraId="4E72C2A9">
      <w:pPr>
        <w:pStyle w:val="11"/>
        <w:numPr>
          <w:ilvl w:val="0"/>
          <w:numId w:val="15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模型作品的整体布局效果：10分</w:t>
      </w:r>
    </w:p>
    <w:p w14:paraId="2CE03C9F">
      <w:pPr>
        <w:pStyle w:val="11"/>
        <w:numPr>
          <w:ilvl w:val="0"/>
          <w:numId w:val="15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t>模型工整、洁净程度：10分</w:t>
      </w:r>
    </w:p>
    <w:p w14:paraId="50BE6CD6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本规则解释权归总局航管中心、中国航海模型运动协会、车辆模型运动协会所有</w:t>
      </w:r>
    </w:p>
    <w:p w14:paraId="009A55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360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3FFC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B3FFC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22D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683C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9683C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3B7BA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2CCDE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FBD25"/>
    <w:multiLevelType w:val="singleLevel"/>
    <w:tmpl w:val="8C6FBD25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 w:ascii="仿宋" w:hAnsi="仿宋" w:eastAsia="仿宋" w:cs="仿宋"/>
      </w:rPr>
    </w:lvl>
  </w:abstractNum>
  <w:abstractNum w:abstractNumId="1">
    <w:nsid w:val="92A08449"/>
    <w:multiLevelType w:val="singleLevel"/>
    <w:tmpl w:val="92A08449"/>
    <w:lvl w:ilvl="0" w:tentative="0">
      <w:start w:val="1"/>
      <w:numFmt w:val="decimalEnclosedCircleChinese"/>
      <w:suff w:val="space"/>
      <w:lvlText w:val="%1"/>
      <w:lvlJc w:val="left"/>
      <w:pPr>
        <w:ind w:left="0" w:firstLine="616"/>
      </w:pPr>
      <w:rPr>
        <w:rFonts w:hint="eastAsia" w:ascii="仿宋" w:hAnsi="仿宋" w:eastAsia="仿宋" w:cs="仿宋"/>
      </w:rPr>
    </w:lvl>
  </w:abstractNum>
  <w:abstractNum w:abstractNumId="2">
    <w:nsid w:val="A0C8E3CE"/>
    <w:multiLevelType w:val="singleLevel"/>
    <w:tmpl w:val="A0C8E3CE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abstractNum w:abstractNumId="3">
    <w:nsid w:val="B21DAED5"/>
    <w:multiLevelType w:val="singleLevel"/>
    <w:tmpl w:val="B21DAED5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abstractNum w:abstractNumId="4">
    <w:nsid w:val="CF6CEA09"/>
    <w:multiLevelType w:val="singleLevel"/>
    <w:tmpl w:val="CF6CEA09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 w:ascii="仿宋" w:hAnsi="仿宋" w:eastAsia="仿宋" w:cs="仿宋"/>
      </w:rPr>
    </w:lvl>
  </w:abstractNum>
  <w:abstractNum w:abstractNumId="5">
    <w:nsid w:val="F13FF05E"/>
    <w:multiLevelType w:val="singleLevel"/>
    <w:tmpl w:val="F13FF05E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abstractNum w:abstractNumId="6">
    <w:nsid w:val="0299A864"/>
    <w:multiLevelType w:val="singleLevel"/>
    <w:tmpl w:val="0299A864"/>
    <w:lvl w:ilvl="0" w:tentative="0">
      <w:start w:val="1"/>
      <w:numFmt w:val="decimalEnclosedCircleChinese"/>
      <w:suff w:val="space"/>
      <w:lvlText w:val="%1"/>
      <w:lvlJc w:val="left"/>
      <w:pPr>
        <w:ind w:left="0" w:firstLine="616"/>
      </w:pPr>
      <w:rPr>
        <w:rFonts w:hint="eastAsia" w:ascii="仿宋" w:hAnsi="仿宋" w:eastAsia="仿宋" w:cs="仿宋"/>
      </w:rPr>
    </w:lvl>
  </w:abstractNum>
  <w:abstractNum w:abstractNumId="7">
    <w:nsid w:val="08CF2ECC"/>
    <w:multiLevelType w:val="singleLevel"/>
    <w:tmpl w:val="08CF2ECC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 w:ascii="仿宋" w:hAnsi="仿宋" w:eastAsia="仿宋" w:cs="仿宋"/>
      </w:rPr>
    </w:lvl>
  </w:abstractNum>
  <w:abstractNum w:abstractNumId="8">
    <w:nsid w:val="11E820B3"/>
    <w:multiLevelType w:val="singleLevel"/>
    <w:tmpl w:val="11E820B3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 w:ascii="仿宋" w:hAnsi="仿宋" w:eastAsia="仿宋" w:cs="仿宋"/>
      </w:rPr>
    </w:lvl>
  </w:abstractNum>
  <w:abstractNum w:abstractNumId="9">
    <w:nsid w:val="16C95EA6"/>
    <w:multiLevelType w:val="singleLevel"/>
    <w:tmpl w:val="16C95EA6"/>
    <w:lvl w:ilvl="0" w:tentative="0">
      <w:start w:val="1"/>
      <w:numFmt w:val="chi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0">
    <w:nsid w:val="1EF11E5B"/>
    <w:multiLevelType w:val="singleLevel"/>
    <w:tmpl w:val="1EF11E5B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 w:ascii="仿宋" w:hAnsi="仿宋" w:eastAsia="仿宋" w:cs="仿宋"/>
      </w:rPr>
    </w:lvl>
  </w:abstractNum>
  <w:abstractNum w:abstractNumId="11">
    <w:nsid w:val="46A72E95"/>
    <w:multiLevelType w:val="singleLevel"/>
    <w:tmpl w:val="46A72E95"/>
    <w:lvl w:ilvl="0" w:tentative="0">
      <w:start w:val="1"/>
      <w:numFmt w:val="decimalEnclosedCircleChinese"/>
      <w:suff w:val="space"/>
      <w:lvlText w:val="%1"/>
      <w:lvlJc w:val="left"/>
      <w:pPr>
        <w:ind w:left="0" w:firstLine="616"/>
      </w:pPr>
      <w:rPr>
        <w:rFonts w:hint="eastAsia" w:ascii="仿宋" w:hAnsi="仿宋" w:eastAsia="仿宋" w:cs="仿宋"/>
      </w:rPr>
    </w:lvl>
  </w:abstractNum>
  <w:abstractNum w:abstractNumId="12">
    <w:nsid w:val="5D3DCFCC"/>
    <w:multiLevelType w:val="singleLevel"/>
    <w:tmpl w:val="5D3DCFCC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13">
    <w:nsid w:val="5EB9E579"/>
    <w:multiLevelType w:val="singleLevel"/>
    <w:tmpl w:val="5EB9E579"/>
    <w:lvl w:ilvl="0" w:tentative="0">
      <w:start w:val="1"/>
      <w:numFmt w:val="decimalEnclosedCircleChinese"/>
      <w:suff w:val="space"/>
      <w:lvlText w:val="%1"/>
      <w:lvlJc w:val="left"/>
      <w:pPr>
        <w:ind w:left="0" w:firstLine="616"/>
      </w:pPr>
      <w:rPr>
        <w:rFonts w:hint="eastAsia" w:ascii="仿宋" w:hAnsi="仿宋" w:eastAsia="仿宋" w:cs="仿宋"/>
      </w:rPr>
    </w:lvl>
  </w:abstractNum>
  <w:abstractNum w:abstractNumId="14">
    <w:nsid w:val="6DC804F8"/>
    <w:multiLevelType w:val="singleLevel"/>
    <w:tmpl w:val="6DC804F8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2022E"/>
    <w:rsid w:val="17961210"/>
    <w:rsid w:val="1A5F77D3"/>
    <w:rsid w:val="22A53EBB"/>
    <w:rsid w:val="285919D0"/>
    <w:rsid w:val="28B07FBC"/>
    <w:rsid w:val="2D9C2D75"/>
    <w:rsid w:val="3C790BC5"/>
    <w:rsid w:val="3F3F3BC6"/>
    <w:rsid w:val="3FF34060"/>
    <w:rsid w:val="42D16C03"/>
    <w:rsid w:val="45B52355"/>
    <w:rsid w:val="56126841"/>
    <w:rsid w:val="59C2022E"/>
    <w:rsid w:val="5E8C5ED1"/>
    <w:rsid w:val="64590086"/>
    <w:rsid w:val="6CCA5594"/>
    <w:rsid w:val="72275B8A"/>
    <w:rsid w:val="7284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0">
    <w:name w:val="图片标题"/>
    <w:next w:val="1"/>
    <w:qFormat/>
    <w:uiPriority w:val="0"/>
    <w:pPr>
      <w:widowControl w:val="0"/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kern w:val="0"/>
      <w:sz w:val="32"/>
      <w:szCs w:val="32"/>
      <w:lang w:bidi="ar-SA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ff7b9-1f28-40bf-87e2-07394e97d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1866</Words>
  <Characters>1959</Characters>
  <Lines>0</Lines>
  <Paragraphs>0</Paragraphs>
  <TotalTime>13</TotalTime>
  <ScaleCrop>false</ScaleCrop>
  <LinksUpToDate>false</LinksUpToDate>
  <CharactersWithSpaces>1965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2026-04-16T02:06:00Z</dcterms:created>
  <dc:creator>魏杰瑞</dc:creator>
  <cp:lastModifiedBy>abracadabra</cp:lastModifiedBy>
  <cp:lastPrinted>2026-04-24T06:14:40Z</cp:lastPrinted>
  <dcterms:modified xsi:type="dcterms:W3CDTF">2026-04-24T06:54:55Z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2C70455FA12C458294F2E97969EEE0A3_13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